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D5" w:rsidRPr="00A76582" w:rsidRDefault="00E958C6" w:rsidP="00A76582">
      <w:pPr>
        <w:spacing w:after="120" w:line="120" w:lineRule="auto"/>
        <w:contextualSpacing/>
        <w:rPr>
          <w:rFonts w:ascii="宋体" w:eastAsia="宋体" w:hAnsi="宋体"/>
          <w:b/>
          <w:bCs/>
          <w:sz w:val="32"/>
          <w:szCs w:val="40"/>
        </w:rPr>
      </w:pPr>
      <w:bookmarkStart w:id="0" w:name="_GoBack"/>
      <w:r w:rsidRPr="00A76582">
        <w:rPr>
          <w:rFonts w:ascii="宋体" w:eastAsia="宋体" w:hAnsi="宋体"/>
          <w:b/>
          <w:bCs/>
          <w:sz w:val="32"/>
          <w:szCs w:val="40"/>
        </w:rPr>
        <w:t>上海海洋大学本科、高职学生人民奖学金评定实施细则</w:t>
      </w:r>
      <w:bookmarkEnd w:id="0"/>
    </w:p>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 </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一</w:t>
      </w:r>
      <w:r w:rsidR="00A76582">
        <w:rPr>
          <w:rFonts w:ascii="宋体" w:hAnsi="宋体" w:hint="eastAsia"/>
          <w:b/>
          <w:szCs w:val="21"/>
        </w:rPr>
        <w:t>.</w:t>
      </w:r>
      <w:r w:rsidRPr="00A76582">
        <w:rPr>
          <w:rFonts w:ascii="宋体" w:eastAsia="宋体" w:hAnsi="宋体" w:cs="宋体" w:hint="eastAsia"/>
          <w:sz w:val="24"/>
          <w:szCs w:val="32"/>
        </w:rPr>
        <w:t>评定资格</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1</w:t>
      </w:r>
      <w:r w:rsidR="00A76582">
        <w:rPr>
          <w:rFonts w:ascii="宋体" w:hAnsi="宋体" w:hint="eastAsia"/>
          <w:b/>
          <w:szCs w:val="21"/>
        </w:rPr>
        <w:t>.</w:t>
      </w:r>
      <w:r w:rsidRPr="00A76582">
        <w:rPr>
          <w:rFonts w:ascii="宋体" w:eastAsia="宋体" w:hAnsi="宋体" w:cs="宋体" w:hint="eastAsia"/>
          <w:sz w:val="24"/>
          <w:szCs w:val="32"/>
        </w:rPr>
        <w:t>凡在我校接受普通高等学历教育且连续就读一学期以上的全日制在籍本科、高职学生，其课程成绩和操行评定达到规定要求者，均可申请参加人民奖学金（以下简称奖学金）评定。</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2</w:t>
      </w:r>
      <w:r w:rsidR="00A76582">
        <w:rPr>
          <w:rFonts w:ascii="宋体" w:hAnsi="宋体" w:hint="eastAsia"/>
          <w:b/>
          <w:szCs w:val="21"/>
        </w:rPr>
        <w:t>.</w:t>
      </w:r>
      <w:r w:rsidRPr="00A76582">
        <w:rPr>
          <w:rFonts w:ascii="宋体" w:eastAsia="宋体" w:hAnsi="宋体" w:cs="宋体" w:hint="eastAsia"/>
          <w:sz w:val="24"/>
          <w:szCs w:val="32"/>
        </w:rPr>
        <w:t>凡参加人民奖学金评定者需符合下列条件：</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(1)未受行政处分或通报批评（凡违纪者自处分及通报批评公告之日起一年内不得参评）；</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(2)课程成绩无不及格(补考者不得参评)；</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(3)第一至第四学期阶段当学期所选课程学分不低于16学分，第五至第七学期阶段当学期所选课程学分不低于8学分；</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(4)在学校安排时间内早操、课外活动出勤次数达2/3以上者和通过国家学生体质健康标准测试（免测试者除外）。</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二</w:t>
      </w:r>
      <w:r w:rsidR="00A76582">
        <w:rPr>
          <w:rFonts w:ascii="宋体" w:hAnsi="宋体" w:hint="eastAsia"/>
          <w:b/>
          <w:szCs w:val="21"/>
        </w:rPr>
        <w:t>.</w:t>
      </w:r>
      <w:r w:rsidRPr="00A76582">
        <w:rPr>
          <w:rFonts w:ascii="宋体" w:eastAsia="宋体" w:hAnsi="宋体" w:cs="宋体" w:hint="eastAsia"/>
          <w:sz w:val="24"/>
          <w:szCs w:val="32"/>
        </w:rPr>
        <w:t>评奖标准</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(1)奖学金评定等级设一等奖、二等奖和三等奖；奖学金金额标准为一等奖1200元/人，二等600元/人，三等奖300元/人；</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(2)按年级和专业确定评选对象；</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(3)评选标准按年级和专业按成绩择优确定。</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(4)评奖比例：一等奖5%、二等奖10%、三等奖20%。</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(5)先进班集体可以提高评奖比例，具体为：</w:t>
      </w:r>
    </w:p>
    <w:p w:rsidR="003443D5" w:rsidRPr="00A76582" w:rsidRDefault="003443D5" w:rsidP="00A76582">
      <w:pPr>
        <w:spacing w:after="120" w:line="120" w:lineRule="auto"/>
        <w:contextualSpacing/>
        <w:rPr>
          <w:rFonts w:ascii="宋体" w:eastAsia="宋体" w:hAnsi="宋体" w:cs="宋体"/>
          <w:sz w:val="24"/>
          <w:szCs w:val="32"/>
        </w:rPr>
      </w:pPr>
    </w:p>
    <w:tbl>
      <w:tblPr>
        <w:tblW w:w="5893" w:type="dxa"/>
        <w:jc w:val="center"/>
        <w:tblInd w:w="1207" w:type="dxa"/>
        <w:tblBorders>
          <w:insideH w:val="outset" w:sz="6" w:space="0" w:color="auto"/>
          <w:insideV w:val="outset" w:sz="6" w:space="0" w:color="auto"/>
        </w:tblBorders>
        <w:tblLayout w:type="fixed"/>
        <w:tblCellMar>
          <w:left w:w="0" w:type="dxa"/>
          <w:right w:w="0" w:type="dxa"/>
        </w:tblCellMar>
        <w:tblLook w:val="04A0"/>
      </w:tblPr>
      <w:tblGrid>
        <w:gridCol w:w="775"/>
        <w:gridCol w:w="1437"/>
        <w:gridCol w:w="1797"/>
        <w:gridCol w:w="1884"/>
      </w:tblGrid>
      <w:tr w:rsidR="003443D5" w:rsidRPr="00A76582">
        <w:trPr>
          <w:trHeight w:val="379"/>
          <w:jc w:val="center"/>
        </w:trPr>
        <w:tc>
          <w:tcPr>
            <w:tcW w:w="775" w:type="dxa"/>
            <w:tcBorders>
              <w:top w:val="single" w:sz="8" w:space="0" w:color="auto"/>
              <w:left w:val="single" w:sz="8" w:space="0" w:color="auto"/>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类别</w:t>
            </w:r>
          </w:p>
        </w:tc>
        <w:tc>
          <w:tcPr>
            <w:tcW w:w="1437" w:type="dxa"/>
            <w:tcBorders>
              <w:top w:val="single" w:sz="8" w:space="0" w:color="auto"/>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市先进集体</w:t>
            </w:r>
          </w:p>
        </w:tc>
        <w:tc>
          <w:tcPr>
            <w:tcW w:w="1797" w:type="dxa"/>
            <w:tcBorders>
              <w:top w:val="single" w:sz="8" w:space="0" w:color="auto"/>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校先进班级、支部</w:t>
            </w:r>
          </w:p>
        </w:tc>
        <w:tc>
          <w:tcPr>
            <w:tcW w:w="1884" w:type="dxa"/>
            <w:tcBorders>
              <w:top w:val="single" w:sz="8" w:space="0" w:color="auto"/>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校文明班级、支部</w:t>
            </w:r>
          </w:p>
        </w:tc>
      </w:tr>
      <w:tr w:rsidR="003443D5" w:rsidRPr="00A76582">
        <w:trPr>
          <w:trHeight w:val="408"/>
          <w:jc w:val="center"/>
        </w:trPr>
        <w:tc>
          <w:tcPr>
            <w:tcW w:w="775" w:type="dxa"/>
            <w:tcBorders>
              <w:top w:val="nil"/>
              <w:left w:val="single" w:sz="8" w:space="0" w:color="auto"/>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rPr>
            </w:pPr>
            <w:r w:rsidRPr="00A76582">
              <w:rPr>
                <w:rFonts w:ascii="宋体" w:eastAsia="宋体" w:hAnsi="宋体" w:hint="eastAsia"/>
              </w:rPr>
              <w:t>系数</w:t>
            </w:r>
          </w:p>
        </w:tc>
        <w:tc>
          <w:tcPr>
            <w:tcW w:w="1437" w:type="dxa"/>
            <w:tcBorders>
              <w:top w:val="nil"/>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cs="Times New Roman"/>
              </w:rPr>
            </w:pPr>
            <w:r w:rsidRPr="00A76582">
              <w:rPr>
                <w:rFonts w:ascii="宋体" w:eastAsia="宋体" w:hAnsi="宋体" w:cs="Times New Roman"/>
              </w:rPr>
              <w:t>1.2</w:t>
            </w:r>
          </w:p>
        </w:tc>
        <w:tc>
          <w:tcPr>
            <w:tcW w:w="1797" w:type="dxa"/>
            <w:tcBorders>
              <w:top w:val="nil"/>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cs="Times New Roman"/>
              </w:rPr>
            </w:pPr>
            <w:r w:rsidRPr="00A76582">
              <w:rPr>
                <w:rFonts w:ascii="宋体" w:eastAsia="宋体" w:hAnsi="宋体" w:cs="Times New Roman"/>
              </w:rPr>
              <w:t>1.1</w:t>
            </w:r>
          </w:p>
        </w:tc>
        <w:tc>
          <w:tcPr>
            <w:tcW w:w="1884" w:type="dxa"/>
            <w:tcBorders>
              <w:top w:val="nil"/>
              <w:left w:val="nil"/>
              <w:bottom w:val="single" w:sz="8" w:space="0" w:color="auto"/>
              <w:right w:val="single" w:sz="8" w:space="0" w:color="auto"/>
            </w:tcBorders>
            <w:shd w:val="clear" w:color="auto" w:fill="auto"/>
            <w:vAlign w:val="center"/>
          </w:tcPr>
          <w:p w:rsidR="003443D5" w:rsidRPr="00A76582" w:rsidRDefault="00E958C6" w:rsidP="00A76582">
            <w:pPr>
              <w:spacing w:after="120" w:line="120" w:lineRule="auto"/>
              <w:contextualSpacing/>
              <w:rPr>
                <w:rFonts w:ascii="宋体" w:eastAsia="宋体" w:hAnsi="宋体" w:cs="Times New Roman"/>
              </w:rPr>
            </w:pPr>
            <w:r w:rsidRPr="00A76582">
              <w:rPr>
                <w:rFonts w:ascii="宋体" w:eastAsia="宋体" w:hAnsi="宋体" w:cs="Times New Roman"/>
              </w:rPr>
              <w:t>1.05</w:t>
            </w:r>
          </w:p>
        </w:tc>
      </w:tr>
    </w:tbl>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注：以上增加名额系数仅适用于下一学年度的第一学期</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三</w:t>
      </w:r>
      <w:r w:rsidR="00A76582">
        <w:rPr>
          <w:rFonts w:ascii="宋体" w:hAnsi="宋体" w:hint="eastAsia"/>
          <w:b/>
          <w:szCs w:val="21"/>
        </w:rPr>
        <w:t>.</w:t>
      </w:r>
      <w:r w:rsidRPr="00A76582">
        <w:rPr>
          <w:rFonts w:ascii="宋体" w:eastAsia="宋体" w:hAnsi="宋体" w:cs="宋体" w:hint="eastAsia"/>
          <w:sz w:val="24"/>
          <w:szCs w:val="32"/>
        </w:rPr>
        <w:t>评奖程序</w:t>
      </w:r>
    </w:p>
    <w:p w:rsidR="003443D5" w:rsidRPr="00A76582" w:rsidRDefault="00E958C6" w:rsidP="00A76582">
      <w:pPr>
        <w:spacing w:after="120" w:line="120" w:lineRule="auto"/>
        <w:contextualSpacing/>
        <w:rPr>
          <w:rFonts w:ascii="宋体" w:eastAsia="宋体" w:hAnsi="宋体" w:cs="宋体"/>
          <w:sz w:val="24"/>
          <w:szCs w:val="32"/>
        </w:rPr>
      </w:pPr>
      <w:r w:rsidRPr="00A76582">
        <w:rPr>
          <w:rFonts w:ascii="宋体" w:eastAsia="宋体" w:hAnsi="宋体" w:cs="宋体" w:hint="eastAsia"/>
          <w:sz w:val="24"/>
          <w:szCs w:val="32"/>
        </w:rPr>
        <w:t>人民奖学金每学期评选一次，每学期开学后第二周开始评选，由各学院具体负责。学生填写《上海海洋大学人民奖学金申请表》，辅导员（班主任）根据学生成绩并结合学生的综合表现召开班委会，x提出推荐意见，学院审核并公示三日，报学生处复核，经主管校领导批准，颁布获奖决定，发放证书及奖金。</w:t>
      </w:r>
    </w:p>
    <w:p w:rsidR="003443D5" w:rsidRPr="00A76582" w:rsidRDefault="00A76582" w:rsidP="00A76582">
      <w:pPr>
        <w:spacing w:after="120" w:line="120" w:lineRule="auto"/>
        <w:contextualSpacing/>
        <w:rPr>
          <w:rFonts w:ascii="宋体" w:eastAsia="宋体" w:hAnsi="宋体" w:cs="宋体"/>
          <w:sz w:val="24"/>
          <w:szCs w:val="32"/>
        </w:rPr>
      </w:pPr>
      <w:r>
        <w:rPr>
          <w:rFonts w:ascii="宋体" w:eastAsia="宋体" w:hAnsi="宋体" w:cs="宋体" w:hint="eastAsia"/>
          <w:sz w:val="24"/>
          <w:szCs w:val="32"/>
        </w:rPr>
        <w:t>四</w:t>
      </w:r>
      <w:r>
        <w:rPr>
          <w:rFonts w:ascii="宋体" w:hAnsi="宋体" w:hint="eastAsia"/>
          <w:b/>
          <w:szCs w:val="21"/>
        </w:rPr>
        <w:t>.</w:t>
      </w:r>
      <w:r w:rsidR="00E958C6" w:rsidRPr="00A76582">
        <w:rPr>
          <w:rFonts w:ascii="宋体" w:eastAsia="宋体" w:hAnsi="宋体" w:cs="宋体" w:hint="eastAsia"/>
          <w:sz w:val="24"/>
          <w:szCs w:val="32"/>
        </w:rPr>
        <w:t>凡在申报过程中弄虚作假者取消当学年度各项奖学金评审资格，并视情节轻重给予相应处理。</w:t>
      </w:r>
    </w:p>
    <w:p w:rsidR="003443D5" w:rsidRPr="00A76582" w:rsidRDefault="00A76582" w:rsidP="00A76582">
      <w:pPr>
        <w:spacing w:after="120" w:line="120" w:lineRule="auto"/>
        <w:contextualSpacing/>
        <w:rPr>
          <w:rFonts w:ascii="宋体" w:eastAsia="宋体" w:hAnsi="宋体" w:cs="宋体"/>
          <w:sz w:val="24"/>
          <w:szCs w:val="32"/>
        </w:rPr>
      </w:pPr>
      <w:r>
        <w:rPr>
          <w:rFonts w:ascii="宋体" w:eastAsia="宋体" w:hAnsi="宋体" w:cs="宋体" w:hint="eastAsia"/>
          <w:sz w:val="24"/>
          <w:szCs w:val="32"/>
        </w:rPr>
        <w:t>五</w:t>
      </w:r>
      <w:r>
        <w:rPr>
          <w:rFonts w:ascii="宋体" w:hAnsi="宋体" w:hint="eastAsia"/>
          <w:b/>
          <w:szCs w:val="21"/>
        </w:rPr>
        <w:t>.</w:t>
      </w:r>
      <w:r w:rsidR="00E958C6" w:rsidRPr="00A76582">
        <w:rPr>
          <w:rFonts w:ascii="宋体" w:eastAsia="宋体" w:hAnsi="宋体" w:cs="宋体" w:hint="eastAsia"/>
          <w:sz w:val="24"/>
          <w:szCs w:val="32"/>
        </w:rPr>
        <w:t>研究生、成教学院学生评选条件另行制订。</w:t>
      </w:r>
    </w:p>
    <w:p w:rsidR="003443D5" w:rsidRPr="00A76582" w:rsidRDefault="00A76582" w:rsidP="00A76582">
      <w:pPr>
        <w:spacing w:after="120" w:line="120" w:lineRule="auto"/>
        <w:contextualSpacing/>
        <w:rPr>
          <w:rFonts w:ascii="宋体" w:eastAsia="宋体" w:hAnsi="宋体" w:cs="宋体"/>
          <w:sz w:val="24"/>
          <w:szCs w:val="32"/>
        </w:rPr>
      </w:pPr>
      <w:r>
        <w:rPr>
          <w:rFonts w:ascii="宋体" w:eastAsia="宋体" w:hAnsi="宋体" w:cs="宋体" w:hint="eastAsia"/>
          <w:sz w:val="24"/>
          <w:szCs w:val="32"/>
        </w:rPr>
        <w:t>六</w:t>
      </w:r>
      <w:r>
        <w:rPr>
          <w:rFonts w:ascii="宋体" w:hAnsi="宋体" w:hint="eastAsia"/>
          <w:b/>
          <w:szCs w:val="21"/>
        </w:rPr>
        <w:t>.</w:t>
      </w:r>
      <w:r w:rsidR="00E958C6" w:rsidRPr="00A76582">
        <w:rPr>
          <w:rFonts w:ascii="宋体" w:eastAsia="宋体" w:hAnsi="宋体" w:cs="宋体" w:hint="eastAsia"/>
          <w:sz w:val="24"/>
          <w:szCs w:val="32"/>
        </w:rPr>
        <w:t>本细则自2008年9月1日起实施，凡与本规定相抵触之条文均以本规定为准。</w:t>
      </w:r>
    </w:p>
    <w:p w:rsidR="003443D5" w:rsidRPr="00A76582" w:rsidRDefault="00A76582" w:rsidP="00A76582">
      <w:pPr>
        <w:spacing w:after="120" w:line="120" w:lineRule="auto"/>
        <w:contextualSpacing/>
        <w:rPr>
          <w:rFonts w:ascii="宋体" w:eastAsia="宋体" w:hAnsi="宋体" w:cs="宋体"/>
          <w:sz w:val="24"/>
          <w:szCs w:val="32"/>
        </w:rPr>
      </w:pPr>
      <w:r>
        <w:rPr>
          <w:rFonts w:ascii="宋体" w:eastAsia="宋体" w:hAnsi="宋体" w:cs="宋体" w:hint="eastAsia"/>
          <w:sz w:val="24"/>
          <w:szCs w:val="32"/>
        </w:rPr>
        <w:t>七</w:t>
      </w:r>
      <w:r>
        <w:rPr>
          <w:rFonts w:ascii="宋体" w:hAnsi="宋体" w:hint="eastAsia"/>
          <w:b/>
          <w:szCs w:val="21"/>
        </w:rPr>
        <w:t>.</w:t>
      </w:r>
      <w:r w:rsidR="00E958C6" w:rsidRPr="00A76582">
        <w:rPr>
          <w:rFonts w:ascii="宋体" w:eastAsia="宋体" w:hAnsi="宋体" w:cs="宋体" w:hint="eastAsia"/>
          <w:sz w:val="24"/>
          <w:szCs w:val="32"/>
        </w:rPr>
        <w:t>本细则由校长授权学生处负责解释。</w:t>
      </w:r>
    </w:p>
    <w:p w:rsidR="003443D5" w:rsidRPr="00A76582" w:rsidRDefault="003443D5" w:rsidP="00A76582">
      <w:pPr>
        <w:spacing w:after="120" w:line="120" w:lineRule="auto"/>
        <w:contextualSpacing/>
        <w:rPr>
          <w:rFonts w:ascii="宋体" w:eastAsia="宋体" w:hAnsi="宋体"/>
        </w:rPr>
      </w:pPr>
    </w:p>
    <w:sectPr w:rsidR="003443D5" w:rsidRPr="00A76582" w:rsidSect="00344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9C" w:rsidRDefault="00C2759C" w:rsidP="00A76582">
      <w:r>
        <w:separator/>
      </w:r>
    </w:p>
  </w:endnote>
  <w:endnote w:type="continuationSeparator" w:id="1">
    <w:p w:rsidR="00C2759C" w:rsidRDefault="00C2759C" w:rsidP="00A76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9C" w:rsidRDefault="00C2759C" w:rsidP="00A76582">
      <w:r>
        <w:separator/>
      </w:r>
    </w:p>
  </w:footnote>
  <w:footnote w:type="continuationSeparator" w:id="1">
    <w:p w:rsidR="00C2759C" w:rsidRDefault="00C2759C" w:rsidP="00A76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9FD4"/>
    <w:multiLevelType w:val="singleLevel"/>
    <w:tmpl w:val="59019FD4"/>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F1E6BCE"/>
    <w:rsid w:val="003443D5"/>
    <w:rsid w:val="00995006"/>
    <w:rsid w:val="00A76582"/>
    <w:rsid w:val="00C2759C"/>
    <w:rsid w:val="00E958C6"/>
    <w:rsid w:val="6F1E6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3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3D5"/>
    <w:rPr>
      <w:sz w:val="24"/>
    </w:rPr>
  </w:style>
  <w:style w:type="paragraph" w:styleId="a4">
    <w:name w:val="header"/>
    <w:basedOn w:val="a"/>
    <w:link w:val="Char"/>
    <w:rsid w:val="00A76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6582"/>
    <w:rPr>
      <w:rFonts w:asciiTheme="minorHAnsi" w:eastAsiaTheme="minorEastAsia" w:hAnsiTheme="minorHAnsi" w:cstheme="minorBidi"/>
      <w:kern w:val="2"/>
      <w:sz w:val="18"/>
      <w:szCs w:val="18"/>
    </w:rPr>
  </w:style>
  <w:style w:type="paragraph" w:styleId="a5">
    <w:name w:val="footer"/>
    <w:basedOn w:val="a"/>
    <w:link w:val="Char0"/>
    <w:rsid w:val="00A76582"/>
    <w:pPr>
      <w:tabs>
        <w:tab w:val="center" w:pos="4153"/>
        <w:tab w:val="right" w:pos="8306"/>
      </w:tabs>
      <w:snapToGrid w:val="0"/>
      <w:jc w:val="left"/>
    </w:pPr>
    <w:rPr>
      <w:sz w:val="18"/>
      <w:szCs w:val="18"/>
    </w:rPr>
  </w:style>
  <w:style w:type="character" w:customStyle="1" w:styleId="Char0">
    <w:name w:val="页脚 Char"/>
    <w:basedOn w:val="a0"/>
    <w:link w:val="a5"/>
    <w:rsid w:val="00A765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2017-04-27T07:34:00Z</dcterms:created>
  <dcterms:modified xsi:type="dcterms:W3CDTF">2017-05-05T07:43:00Z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