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上海同晋环保科技有限公司招聘简章</w:t>
      </w:r>
    </w:p>
    <w:p>
      <w:pPr>
        <w:jc w:val="center"/>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 xml:space="preserve">上海同晋环保科技有限公司，成立于2010年，是国内首家自主研发高耐侯氟碳膜的专业机构，已获得发明专利和实用新型专利多项，填补了国内空白。也是国内最早拥有氟碳膜系列产品自主知识产权的生产和销售企业。 </w:t>
      </w: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上海同晋品牌“氟舒特”以替代高污染氟碳涂料和进口氟碳膜为己任，打造国际一流、国内领先的氟碳膜龙头企业。并已与多家建材类上市公司（马钢股份、帝龙文化、中国忠旺等）达成战略合作，以整合产业链的上下游龙头企业向客户提供一站式氟碳金属复合板产品。</w:t>
      </w: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因发展需要，现诚邀勤奋、忠诚、有激情、有梦想、有责任心的你们加入我们的团队。</w:t>
      </w:r>
    </w:p>
    <w:tbl>
      <w:tblPr>
        <w:tblStyle w:val="3"/>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30"/>
        <w:gridCol w:w="1040"/>
        <w:gridCol w:w="1485"/>
        <w:gridCol w:w="846"/>
        <w:gridCol w:w="1070"/>
        <w:gridCol w:w="3534"/>
      </w:tblGrid>
      <w:tr>
        <w:tblPrEx>
          <w:tblLayout w:type="fixed"/>
          <w:tblCellMar>
            <w:left w:w="108" w:type="dxa"/>
            <w:right w:w="108" w:type="dxa"/>
          </w:tblCellMar>
        </w:tblPrEx>
        <w:trPr>
          <w:trHeight w:val="762"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序号</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部门</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岗位</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招聘数量</w:t>
            </w: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薪酬</w:t>
            </w:r>
            <w:bookmarkStart w:id="0" w:name="_GoBack"/>
            <w:bookmarkEnd w:id="0"/>
          </w:p>
        </w:tc>
        <w:tc>
          <w:tcPr>
            <w:tcW w:w="3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总经办</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总经理助理</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1位</w:t>
            </w: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6500+</w:t>
            </w:r>
          </w:p>
        </w:tc>
        <w:tc>
          <w:tcPr>
            <w:tcW w:w="3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工作区域临港万祥镇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研发部</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研究员</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1位</w:t>
            </w: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5500+</w:t>
            </w:r>
          </w:p>
        </w:tc>
        <w:tc>
          <w:tcPr>
            <w:tcW w:w="3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工作区域临港万祥镇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生产部</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机械操作员</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1位</w:t>
            </w: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5000+</w:t>
            </w:r>
          </w:p>
        </w:tc>
        <w:tc>
          <w:tcPr>
            <w:tcW w:w="3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工作区域临港万祥镇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4</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销售部</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销售经理</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6位</w:t>
            </w: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面议</w:t>
            </w:r>
          </w:p>
        </w:tc>
        <w:tc>
          <w:tcPr>
            <w:tcW w:w="3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工作区域临港万祥镇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5</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办公室</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文员</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1位</w:t>
            </w: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5000+</w:t>
            </w:r>
          </w:p>
        </w:tc>
        <w:tc>
          <w:tcPr>
            <w:tcW w:w="3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工作区域临港万祥镇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6</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IT部</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后端开发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3位</w:t>
            </w: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8000+</w:t>
            </w:r>
          </w:p>
        </w:tc>
        <w:tc>
          <w:tcPr>
            <w:tcW w:w="3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sz w:val="24"/>
                <w:szCs w:val="24"/>
                <w:vertAlign w:val="baseline"/>
                <w:lang w:val="en-US" w:eastAsia="zh-CN"/>
              </w:rPr>
            </w:pPr>
            <w:r>
              <w:rPr>
                <w:rFonts w:hint="eastAsia"/>
                <w:sz w:val="24"/>
                <w:szCs w:val="24"/>
                <w:vertAlign w:val="baseline"/>
                <w:lang w:val="en-US" w:eastAsia="zh-CN"/>
              </w:rPr>
              <w:t>熟悉Java,有灵性,工作区域张江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9" w:hRule="atLeast"/>
        </w:trPr>
        <w:tc>
          <w:tcPr>
            <w:tcW w:w="8605"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4"/>
                <w:szCs w:val="24"/>
                <w:vertAlign w:val="baseline"/>
                <w:lang w:val="en-US" w:eastAsia="zh-CN"/>
              </w:rPr>
            </w:pPr>
            <w:r>
              <w:rPr>
                <w:rFonts w:hint="eastAsia"/>
                <w:sz w:val="24"/>
                <w:szCs w:val="24"/>
                <w:vertAlign w:val="baseline"/>
                <w:lang w:val="en-US" w:eastAsia="zh-CN"/>
              </w:rPr>
              <w:t>说明：1、男女不限，大专以上文凭；机械操作员可放宽到中专。</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4"/>
                <w:szCs w:val="24"/>
                <w:vertAlign w:val="baseline"/>
                <w:lang w:val="en-US" w:eastAsia="zh-CN"/>
              </w:rPr>
            </w:pPr>
            <w:r>
              <w:rPr>
                <w:rFonts w:hint="eastAsia"/>
                <w:sz w:val="24"/>
                <w:szCs w:val="24"/>
                <w:vertAlign w:val="baseline"/>
                <w:lang w:val="en-US" w:eastAsia="zh-CN"/>
              </w:rPr>
              <w:t xml:space="preserve">      2、薪酬由</w:t>
            </w:r>
            <w:r>
              <w:rPr>
                <w:rFonts w:hint="default" w:ascii="Times New Roman" w:hAnsi="Times New Roman" w:eastAsia="宋体" w:cs="Times New Roman"/>
                <w:i w:val="0"/>
                <w:color w:val="auto"/>
                <w:kern w:val="0"/>
                <w:sz w:val="21"/>
                <w:szCs w:val="21"/>
                <w:lang w:val="en-US" w:eastAsia="zh-CN" w:bidi="ar"/>
              </w:rPr>
              <w:t>基本工资</w:t>
            </w:r>
            <w:r>
              <w:rPr>
                <w:rFonts w:hint="eastAsia" w:ascii="Times New Roman" w:hAnsi="Times New Roman" w:cs="Times New Roman"/>
                <w:i w:val="0"/>
                <w:color w:val="auto"/>
                <w:kern w:val="0"/>
                <w:sz w:val="21"/>
                <w:szCs w:val="21"/>
                <w:lang w:val="en-US" w:eastAsia="zh-CN" w:bidi="ar"/>
              </w:rPr>
              <w:t>，</w:t>
            </w:r>
            <w:r>
              <w:rPr>
                <w:rFonts w:hint="default" w:ascii="Times New Roman" w:hAnsi="Times New Roman" w:eastAsia="宋体" w:cs="Times New Roman"/>
                <w:i w:val="0"/>
                <w:color w:val="auto"/>
                <w:kern w:val="0"/>
                <w:sz w:val="21"/>
                <w:szCs w:val="21"/>
                <w:lang w:val="en-US" w:eastAsia="zh-CN" w:bidi="ar"/>
              </w:rPr>
              <w:t>岗位津贴</w:t>
            </w:r>
            <w:r>
              <w:rPr>
                <w:rFonts w:hint="eastAsia" w:ascii="Times New Roman" w:hAnsi="Times New Roman" w:eastAsia="宋体" w:cs="Times New Roman"/>
                <w:i w:val="0"/>
                <w:color w:val="auto"/>
                <w:kern w:val="0"/>
                <w:sz w:val="21"/>
                <w:szCs w:val="21"/>
                <w:lang w:val="en-US" w:eastAsia="zh-CN" w:bidi="ar"/>
              </w:rPr>
              <w:t>，</w:t>
            </w:r>
            <w:r>
              <w:rPr>
                <w:rFonts w:hint="default" w:ascii="Times New Roman" w:hAnsi="Times New Roman" w:eastAsia="宋体" w:cs="Times New Roman"/>
                <w:i w:val="0"/>
                <w:color w:val="auto"/>
                <w:kern w:val="0"/>
                <w:sz w:val="21"/>
                <w:szCs w:val="21"/>
                <w:lang w:val="en-US" w:eastAsia="zh-CN" w:bidi="ar"/>
              </w:rPr>
              <w:t>绩效工资</w:t>
            </w:r>
            <w:r>
              <w:rPr>
                <w:rFonts w:hint="eastAsia" w:ascii="Times New Roman" w:hAnsi="Times New Roman" w:eastAsia="宋体" w:cs="Times New Roman"/>
                <w:i w:val="0"/>
                <w:color w:val="auto"/>
                <w:kern w:val="0"/>
                <w:sz w:val="21"/>
                <w:szCs w:val="21"/>
                <w:lang w:val="en-US" w:eastAsia="zh-CN" w:bidi="ar"/>
              </w:rPr>
              <w:t>，</w:t>
            </w:r>
            <w:r>
              <w:rPr>
                <w:rFonts w:hint="default" w:ascii="Times New Roman" w:hAnsi="Times New Roman" w:eastAsia="宋体" w:cs="Times New Roman"/>
                <w:i w:val="0"/>
                <w:color w:val="auto"/>
                <w:kern w:val="0"/>
                <w:sz w:val="21"/>
                <w:szCs w:val="21"/>
                <w:lang w:val="en-US" w:eastAsia="zh-CN" w:bidi="ar"/>
              </w:rPr>
              <w:t>奖金</w:t>
            </w:r>
            <w:r>
              <w:rPr>
                <w:rFonts w:hint="eastAsia" w:ascii="Times New Roman" w:hAnsi="Times New Roman" w:eastAsia="宋体" w:cs="Times New Roman"/>
                <w:i w:val="0"/>
                <w:color w:val="auto"/>
                <w:kern w:val="0"/>
                <w:sz w:val="21"/>
                <w:szCs w:val="21"/>
                <w:lang w:val="en-US" w:eastAsia="zh-CN" w:bidi="ar"/>
              </w:rPr>
              <w:t>及其他福利五部分组成。</w:t>
            </w: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61ABF"/>
    <w:rsid w:val="2A561ABF"/>
    <w:rsid w:val="32D6787C"/>
    <w:rsid w:val="61196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2019-04-26T00:02:00Z</dcterms:created>
  <dc:creator>杰有可能</dc:creator>
  <cp:lastModifiedBy>杰有可能</cp:lastModifiedBy>
  <dcterms:modified xsi:type="dcterms:W3CDTF">2019-04-26T00:50:11Z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